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B2F94" w14:textId="77777777" w:rsidR="002B598B" w:rsidRPr="004C0D4C" w:rsidRDefault="002B598B" w:rsidP="002B598B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Assessment Grid </w:t>
      </w:r>
      <w:r w:rsidRPr="004C0D4C">
        <w:rPr>
          <w:rFonts w:cs="Arial"/>
          <w:b/>
          <w:sz w:val="28"/>
          <w:szCs w:val="28"/>
        </w:rPr>
        <w:t xml:space="preserve">Global Citizenship Challenge </w:t>
      </w:r>
      <w:r>
        <w:rPr>
          <w:rFonts w:cs="Arial"/>
          <w:b/>
          <w:sz w:val="28"/>
          <w:szCs w:val="28"/>
        </w:rPr>
        <w:t>– KS4</w:t>
      </w:r>
    </w:p>
    <w:p w14:paraId="190D0B9F" w14:textId="77777777" w:rsidR="002B598B" w:rsidRPr="004C0D4C" w:rsidRDefault="002B598B" w:rsidP="002B598B">
      <w:pPr>
        <w:rPr>
          <w:rFonts w:cs="Arial"/>
          <w:b/>
          <w:sz w:val="24"/>
        </w:rPr>
      </w:pPr>
    </w:p>
    <w:p w14:paraId="248397D9" w14:textId="77777777" w:rsidR="002B598B" w:rsidRPr="004C0D4C" w:rsidRDefault="002B598B" w:rsidP="002B598B">
      <w:pPr>
        <w:rPr>
          <w:rFonts w:cs="Arial"/>
          <w:b/>
          <w:sz w:val="24"/>
        </w:rPr>
      </w:pPr>
      <w:r w:rsidRPr="004C0D4C">
        <w:rPr>
          <w:rFonts w:cs="Arial"/>
          <w:b/>
          <w:sz w:val="24"/>
        </w:rPr>
        <w:t xml:space="preserve">Where there is no evidence or work is not worthy of credit - 0 marks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3091"/>
        <w:gridCol w:w="3092"/>
        <w:gridCol w:w="3092"/>
        <w:gridCol w:w="3092"/>
      </w:tblGrid>
      <w:tr w:rsidR="002B598B" w:rsidRPr="004C0D4C" w14:paraId="54F32271" w14:textId="77777777" w:rsidTr="003A7B78">
        <w:trPr>
          <w:trHeight w:val="344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67652570" w14:textId="77777777" w:rsidR="002B598B" w:rsidRPr="004C0D4C" w:rsidRDefault="002B598B" w:rsidP="003A7B7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Learning Outcomes</w:t>
            </w:r>
          </w:p>
        </w:tc>
        <w:tc>
          <w:tcPr>
            <w:tcW w:w="12383" w:type="dxa"/>
            <w:gridSpan w:val="4"/>
            <w:shd w:val="clear" w:color="auto" w:fill="D9D9D9"/>
            <w:vAlign w:val="center"/>
          </w:tcPr>
          <w:p w14:paraId="2E5A3013" w14:textId="77777777" w:rsidR="002B598B" w:rsidRPr="004C0D4C" w:rsidRDefault="002B598B" w:rsidP="003A7B7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Performance Bands</w:t>
            </w:r>
          </w:p>
        </w:tc>
      </w:tr>
      <w:tr w:rsidR="002B598B" w:rsidRPr="004C0D4C" w14:paraId="1CBFC3A7" w14:textId="77777777" w:rsidTr="003A7B78">
        <w:trPr>
          <w:trHeight w:val="484"/>
        </w:trPr>
        <w:tc>
          <w:tcPr>
            <w:tcW w:w="1701" w:type="dxa"/>
            <w:vMerge/>
            <w:shd w:val="clear" w:color="auto" w:fill="D9D9D9"/>
          </w:tcPr>
          <w:p w14:paraId="0E7D2537" w14:textId="77777777" w:rsidR="002B598B" w:rsidRPr="004C0D4C" w:rsidRDefault="002B598B" w:rsidP="003A7B7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</w:rPr>
            </w:pPr>
          </w:p>
        </w:tc>
        <w:tc>
          <w:tcPr>
            <w:tcW w:w="3095" w:type="dxa"/>
            <w:shd w:val="clear" w:color="auto" w:fill="D9D9D9"/>
            <w:vAlign w:val="center"/>
          </w:tcPr>
          <w:p w14:paraId="7209727D" w14:textId="77777777" w:rsidR="002B598B" w:rsidRPr="004C0D4C" w:rsidRDefault="002B598B" w:rsidP="003A7B7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Band 1</w:t>
            </w:r>
          </w:p>
          <w:p w14:paraId="6F7A187F" w14:textId="77777777" w:rsidR="002B598B" w:rsidRPr="004C0D4C" w:rsidRDefault="002B598B" w:rsidP="003A7B7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1 - 3</w:t>
            </w:r>
          </w:p>
        </w:tc>
        <w:tc>
          <w:tcPr>
            <w:tcW w:w="3096" w:type="dxa"/>
            <w:shd w:val="clear" w:color="auto" w:fill="D9D9D9"/>
            <w:vAlign w:val="center"/>
          </w:tcPr>
          <w:p w14:paraId="3A0AC057" w14:textId="77777777" w:rsidR="002B598B" w:rsidRPr="004C0D4C" w:rsidRDefault="002B598B" w:rsidP="003A7B7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Band 2</w:t>
            </w:r>
          </w:p>
          <w:p w14:paraId="49819B5A" w14:textId="77777777" w:rsidR="002B598B" w:rsidRPr="004C0D4C" w:rsidRDefault="002B598B" w:rsidP="003A7B7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4 - 6</w:t>
            </w:r>
          </w:p>
        </w:tc>
        <w:tc>
          <w:tcPr>
            <w:tcW w:w="3096" w:type="dxa"/>
            <w:shd w:val="clear" w:color="auto" w:fill="D9D9D9"/>
            <w:vAlign w:val="center"/>
          </w:tcPr>
          <w:p w14:paraId="0C31AC0E" w14:textId="77777777" w:rsidR="002B598B" w:rsidRPr="004C0D4C" w:rsidRDefault="002B598B" w:rsidP="003A7B7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Band 3</w:t>
            </w:r>
          </w:p>
          <w:p w14:paraId="68A25F30" w14:textId="77777777" w:rsidR="002B598B" w:rsidRPr="004C0D4C" w:rsidRDefault="002B598B" w:rsidP="003A7B7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7 - 9</w:t>
            </w:r>
          </w:p>
        </w:tc>
        <w:tc>
          <w:tcPr>
            <w:tcW w:w="3096" w:type="dxa"/>
            <w:shd w:val="clear" w:color="auto" w:fill="D9D9D9"/>
            <w:vAlign w:val="center"/>
          </w:tcPr>
          <w:p w14:paraId="382AA6EE" w14:textId="77777777" w:rsidR="002B598B" w:rsidRPr="004C0D4C" w:rsidRDefault="002B598B" w:rsidP="003A7B7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Band 4</w:t>
            </w:r>
          </w:p>
          <w:p w14:paraId="5752C0EA" w14:textId="77777777" w:rsidR="002B598B" w:rsidRPr="004C0D4C" w:rsidRDefault="002B598B" w:rsidP="003A7B7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>10 - 12</w:t>
            </w:r>
          </w:p>
        </w:tc>
      </w:tr>
      <w:tr w:rsidR="002B598B" w:rsidRPr="004C0D4C" w14:paraId="55A86DDF" w14:textId="77777777" w:rsidTr="003A7B78">
        <w:trPr>
          <w:trHeight w:val="2770"/>
        </w:trPr>
        <w:tc>
          <w:tcPr>
            <w:tcW w:w="1701" w:type="dxa"/>
          </w:tcPr>
          <w:p w14:paraId="03C18DB3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 xml:space="preserve">LO1  </w:t>
            </w:r>
          </w:p>
          <w:p w14:paraId="3365D010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4C0D4C">
              <w:rPr>
                <w:rFonts w:cs="Arial"/>
              </w:rPr>
              <w:t xml:space="preserve">Be able to apply </w:t>
            </w:r>
            <w:r w:rsidRPr="004C0D4C">
              <w:rPr>
                <w:rFonts w:cs="Arial"/>
                <w:b/>
              </w:rPr>
              <w:t>Critical Thinking and Problem Solving</w:t>
            </w:r>
            <w:r w:rsidRPr="004C0D4C">
              <w:rPr>
                <w:rFonts w:cs="Arial"/>
                <w:sz w:val="20"/>
                <w:szCs w:val="20"/>
              </w:rPr>
              <w:t xml:space="preserve"> </w:t>
            </w:r>
          </w:p>
          <w:p w14:paraId="63EBCCF4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095" w:type="dxa"/>
          </w:tcPr>
          <w:p w14:paraId="68228FFE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</w:rPr>
            </w:pPr>
            <w:r w:rsidRPr="004C0D4C">
              <w:rPr>
                <w:rFonts w:cs="Arial"/>
                <w:sz w:val="20"/>
                <w:szCs w:val="20"/>
              </w:rPr>
              <w:t xml:space="preserve">Limited Personal Standpoint including own and alternative opinions, views, and arguments. Limited consideration of the credibility of sources. Limited problem solving and </w:t>
            </w:r>
            <w:proofErr w:type="gramStart"/>
            <w:r w:rsidRPr="004C0D4C">
              <w:rPr>
                <w:rFonts w:cs="Arial"/>
                <w:sz w:val="20"/>
                <w:szCs w:val="20"/>
              </w:rPr>
              <w:t>decision making</w:t>
            </w:r>
            <w:proofErr w:type="gramEnd"/>
            <w:r w:rsidRPr="004C0D4C">
              <w:rPr>
                <w:rFonts w:cs="Arial"/>
                <w:sz w:val="20"/>
                <w:szCs w:val="20"/>
              </w:rPr>
              <w:t xml:space="preserve"> techniques. Limited reflection on the critical thinking and problem solving process.</w:t>
            </w:r>
          </w:p>
        </w:tc>
        <w:tc>
          <w:tcPr>
            <w:tcW w:w="3096" w:type="dxa"/>
          </w:tcPr>
          <w:p w14:paraId="10FAFDEF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4C0D4C">
              <w:rPr>
                <w:rFonts w:cs="Arial"/>
                <w:sz w:val="20"/>
                <w:szCs w:val="20"/>
              </w:rPr>
              <w:t>Basic Personal Standpoint including own and alternative opinions, views, and arguments.</w:t>
            </w:r>
          </w:p>
          <w:p w14:paraId="07EC7A91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</w:rPr>
            </w:pPr>
            <w:r w:rsidRPr="004C0D4C">
              <w:rPr>
                <w:rFonts w:cs="Arial"/>
                <w:sz w:val="20"/>
                <w:szCs w:val="20"/>
              </w:rPr>
              <w:t xml:space="preserve">Basic consideration of the credibility of sources. Basic problem solving and </w:t>
            </w:r>
            <w:proofErr w:type="gramStart"/>
            <w:r w:rsidRPr="004C0D4C">
              <w:rPr>
                <w:rFonts w:cs="Arial"/>
                <w:sz w:val="20"/>
                <w:szCs w:val="20"/>
              </w:rPr>
              <w:t>decision making</w:t>
            </w:r>
            <w:proofErr w:type="gramEnd"/>
            <w:r w:rsidRPr="004C0D4C">
              <w:rPr>
                <w:rFonts w:cs="Arial"/>
                <w:sz w:val="20"/>
                <w:szCs w:val="20"/>
              </w:rPr>
              <w:t xml:space="preserve"> techniques. Basic reflection on the critical thinking and problem solving process.</w:t>
            </w:r>
          </w:p>
        </w:tc>
        <w:tc>
          <w:tcPr>
            <w:tcW w:w="3096" w:type="dxa"/>
          </w:tcPr>
          <w:p w14:paraId="1626BDC2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4C0D4C">
              <w:rPr>
                <w:rFonts w:cs="Arial"/>
                <w:sz w:val="20"/>
                <w:szCs w:val="20"/>
              </w:rPr>
              <w:t>Detailed Personal Standpoint including own and alternative opinions, views, and arguments.</w:t>
            </w:r>
          </w:p>
          <w:p w14:paraId="674A6DFA" w14:textId="77777777" w:rsidR="002B598B" w:rsidRPr="004C0D4C" w:rsidRDefault="002B598B" w:rsidP="003A7B78">
            <w:pPr>
              <w:widowControl w:val="0"/>
              <w:autoSpaceDE w:val="0"/>
              <w:autoSpaceDN w:val="0"/>
              <w:ind w:left="57"/>
              <w:rPr>
                <w:rFonts w:eastAsia="Calibri" w:cs="Arial"/>
                <w:sz w:val="20"/>
                <w:szCs w:val="20"/>
              </w:rPr>
            </w:pPr>
            <w:r w:rsidRPr="004C0D4C">
              <w:rPr>
                <w:rFonts w:cs="Arial"/>
                <w:sz w:val="20"/>
                <w:szCs w:val="20"/>
              </w:rPr>
              <w:t xml:space="preserve">Detailed consideration of the credibility of sources. Effective problem solving and </w:t>
            </w:r>
            <w:proofErr w:type="gramStart"/>
            <w:r w:rsidRPr="004C0D4C">
              <w:rPr>
                <w:rFonts w:cs="Arial"/>
                <w:sz w:val="20"/>
                <w:szCs w:val="20"/>
              </w:rPr>
              <w:t>decision making</w:t>
            </w:r>
            <w:proofErr w:type="gramEnd"/>
            <w:r w:rsidRPr="004C0D4C">
              <w:rPr>
                <w:rFonts w:cs="Arial"/>
                <w:sz w:val="20"/>
                <w:szCs w:val="20"/>
              </w:rPr>
              <w:t xml:space="preserve"> techniques. Detailed reflection on the critical thinking and problem solving process.</w:t>
            </w:r>
          </w:p>
        </w:tc>
        <w:tc>
          <w:tcPr>
            <w:tcW w:w="3096" w:type="dxa"/>
          </w:tcPr>
          <w:p w14:paraId="2D69F9FF" w14:textId="77777777" w:rsidR="002B598B" w:rsidRPr="004C0D4C" w:rsidRDefault="002B598B" w:rsidP="003A7B78">
            <w:pPr>
              <w:widowControl w:val="0"/>
              <w:autoSpaceDE w:val="0"/>
              <w:autoSpaceDN w:val="0"/>
              <w:ind w:left="29"/>
              <w:rPr>
                <w:rFonts w:cs="Arial"/>
                <w:sz w:val="20"/>
                <w:szCs w:val="20"/>
              </w:rPr>
            </w:pPr>
            <w:r w:rsidRPr="004C0D4C">
              <w:rPr>
                <w:rFonts w:cs="Arial"/>
                <w:sz w:val="20"/>
                <w:szCs w:val="20"/>
              </w:rPr>
              <w:t xml:space="preserve">Detailed, clear and effective Personal Standpoint including own and alternative opinions, views, and arguments. Detailed and effective consideration of the credibility of sources. Efficient and effective problem solving and </w:t>
            </w:r>
            <w:proofErr w:type="gramStart"/>
            <w:r w:rsidRPr="004C0D4C">
              <w:rPr>
                <w:rFonts w:cs="Arial"/>
                <w:sz w:val="20"/>
                <w:szCs w:val="20"/>
              </w:rPr>
              <w:t>decision making</w:t>
            </w:r>
            <w:proofErr w:type="gramEnd"/>
            <w:r w:rsidRPr="004C0D4C">
              <w:rPr>
                <w:rFonts w:cs="Arial"/>
                <w:sz w:val="20"/>
                <w:szCs w:val="20"/>
              </w:rPr>
              <w:t xml:space="preserve"> techniques. Detailed and well-reasoned reflection on critical thinking and problem solving process.</w:t>
            </w:r>
          </w:p>
        </w:tc>
      </w:tr>
      <w:tr w:rsidR="002B598B" w:rsidRPr="004C0D4C" w14:paraId="4CA9FFA3" w14:textId="77777777" w:rsidTr="003A7B78">
        <w:trPr>
          <w:trHeight w:val="1954"/>
        </w:trPr>
        <w:tc>
          <w:tcPr>
            <w:tcW w:w="1701" w:type="dxa"/>
          </w:tcPr>
          <w:p w14:paraId="398BF3BB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 xml:space="preserve">LO2  </w:t>
            </w:r>
          </w:p>
          <w:p w14:paraId="4912201B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4C0D4C">
              <w:rPr>
                <w:rFonts w:cs="Arial"/>
              </w:rPr>
              <w:t xml:space="preserve">Be able to </w:t>
            </w:r>
            <w:r w:rsidRPr="004C0D4C">
              <w:rPr>
                <w:rFonts w:cs="Arial"/>
                <w:szCs w:val="22"/>
              </w:rPr>
              <w:t>apply</w:t>
            </w:r>
            <w:r w:rsidRPr="004C0D4C">
              <w:rPr>
                <w:rFonts w:cs="Arial"/>
                <w:b/>
              </w:rPr>
              <w:t xml:space="preserve"> Creativity and Innovation </w:t>
            </w:r>
          </w:p>
        </w:tc>
        <w:tc>
          <w:tcPr>
            <w:tcW w:w="3095" w:type="dxa"/>
          </w:tcPr>
          <w:p w14:paraId="5766771C" w14:textId="77777777" w:rsidR="002B598B" w:rsidRPr="004C0D4C" w:rsidRDefault="002B598B" w:rsidP="003A7B78">
            <w:pPr>
              <w:widowControl w:val="0"/>
              <w:autoSpaceDE w:val="0"/>
              <w:autoSpaceDN w:val="0"/>
              <w:ind w:left="35"/>
              <w:rPr>
                <w:rFonts w:cs="Arial"/>
                <w:sz w:val="20"/>
                <w:szCs w:val="20"/>
              </w:rPr>
            </w:pPr>
            <w:r w:rsidRPr="004C0D4C">
              <w:rPr>
                <w:rFonts w:cs="Arial"/>
                <w:sz w:val="20"/>
                <w:szCs w:val="20"/>
              </w:rPr>
              <w:t>Limited ideas generated for raising awareness including consideration of strengths and weaknesses. A suitable idea selected, developed and implemented. Limited reflection of the process involved in developing a new concept.</w:t>
            </w:r>
          </w:p>
        </w:tc>
        <w:tc>
          <w:tcPr>
            <w:tcW w:w="3096" w:type="dxa"/>
          </w:tcPr>
          <w:p w14:paraId="10F45C12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eastAsia="Calibri" w:cs="Arial"/>
                <w:sz w:val="20"/>
                <w:szCs w:val="20"/>
              </w:rPr>
            </w:pPr>
            <w:r w:rsidRPr="004C0D4C">
              <w:rPr>
                <w:rFonts w:cs="Arial"/>
                <w:sz w:val="20"/>
                <w:szCs w:val="20"/>
              </w:rPr>
              <w:t>Basic ideas generated for raising awareness including consideration of strengths and weaknesses. A realistic idea selected, developed and implemented. Basic reflection of the process involved in developing a new concept.</w:t>
            </w:r>
          </w:p>
        </w:tc>
        <w:tc>
          <w:tcPr>
            <w:tcW w:w="3096" w:type="dxa"/>
          </w:tcPr>
          <w:p w14:paraId="097CCB6D" w14:textId="77777777" w:rsidR="002B598B" w:rsidRPr="004C0D4C" w:rsidRDefault="002B598B" w:rsidP="003A7B78">
            <w:pPr>
              <w:widowControl w:val="0"/>
              <w:autoSpaceDE w:val="0"/>
              <w:autoSpaceDN w:val="0"/>
              <w:ind w:left="18"/>
              <w:rPr>
                <w:rFonts w:eastAsia="Calibri" w:cs="Arial"/>
                <w:sz w:val="20"/>
                <w:szCs w:val="20"/>
              </w:rPr>
            </w:pPr>
            <w:r w:rsidRPr="004C0D4C">
              <w:rPr>
                <w:rFonts w:cs="Arial"/>
                <w:sz w:val="20"/>
                <w:szCs w:val="20"/>
              </w:rPr>
              <w:t>Appropriate ideas generated for raising awareness including consideration of strengths and weaknesses. An appropriate and feasible idea selected, developed and implemented. Detailed reflection of the process involved in developing a new concept.</w:t>
            </w:r>
          </w:p>
        </w:tc>
        <w:tc>
          <w:tcPr>
            <w:tcW w:w="3096" w:type="dxa"/>
          </w:tcPr>
          <w:p w14:paraId="1394C082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eastAsia="Calibri" w:cs="Arial"/>
                <w:sz w:val="20"/>
                <w:szCs w:val="20"/>
              </w:rPr>
            </w:pPr>
            <w:r w:rsidRPr="004C0D4C">
              <w:rPr>
                <w:rFonts w:cs="Arial"/>
                <w:sz w:val="20"/>
                <w:szCs w:val="20"/>
              </w:rPr>
              <w:t>Appropriate and realistic ideas generated for raising awareness including consideration of strengths and weaknesses. A feasible, realistic and effective idea selected, developed and implemented. Detailed and balanced evaluation of the process involved in developing a new concept.</w:t>
            </w:r>
          </w:p>
        </w:tc>
      </w:tr>
      <w:tr w:rsidR="002B598B" w:rsidRPr="004C0D4C" w14:paraId="6FAE8F47" w14:textId="77777777" w:rsidTr="003A7B78">
        <w:trPr>
          <w:trHeight w:val="2400"/>
        </w:trPr>
        <w:tc>
          <w:tcPr>
            <w:tcW w:w="1701" w:type="dxa"/>
          </w:tcPr>
          <w:p w14:paraId="30C0E3D6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  <w:b/>
              </w:rPr>
            </w:pPr>
            <w:r w:rsidRPr="004C0D4C">
              <w:rPr>
                <w:rFonts w:cs="Arial"/>
                <w:b/>
              </w:rPr>
              <w:t xml:space="preserve">LO3 </w:t>
            </w:r>
          </w:p>
          <w:p w14:paraId="72F1577D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4C0D4C">
              <w:rPr>
                <w:rFonts w:cs="Arial"/>
              </w:rPr>
              <w:t xml:space="preserve">Understand issues involved in a </w:t>
            </w:r>
            <w:r w:rsidRPr="004C0D4C">
              <w:rPr>
                <w:rFonts w:cs="Arial"/>
                <w:b/>
              </w:rPr>
              <w:t>Global Citizenship Challenge</w:t>
            </w:r>
            <w:r w:rsidRPr="004C0D4C">
              <w:rPr>
                <w:rFonts w:cs="Arial"/>
              </w:rPr>
              <w:t xml:space="preserve"> </w:t>
            </w:r>
          </w:p>
        </w:tc>
        <w:tc>
          <w:tcPr>
            <w:tcW w:w="3095" w:type="dxa"/>
          </w:tcPr>
          <w:p w14:paraId="2FB652F1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</w:rPr>
            </w:pPr>
            <w:r w:rsidRPr="004C0D4C">
              <w:rPr>
                <w:rFonts w:cs="Arial"/>
                <w:sz w:val="20"/>
                <w:szCs w:val="20"/>
              </w:rPr>
              <w:t>Limited understanding of the global issue. Limited coverage of political, economic, social, technological, legal and environmental factors. Raising awareness outcomes produced of limited quality and suitability.</w:t>
            </w:r>
          </w:p>
        </w:tc>
        <w:tc>
          <w:tcPr>
            <w:tcW w:w="3096" w:type="dxa"/>
          </w:tcPr>
          <w:p w14:paraId="0098BD0C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4C0D4C">
              <w:rPr>
                <w:rFonts w:cs="Arial"/>
                <w:sz w:val="20"/>
                <w:szCs w:val="20"/>
              </w:rPr>
              <w:t>Basic understanding of the global issue. Basic coverage of political, economic, social, technological, legal and environmental factors. Raising awareness outcomes produced of adequate quality and suitability.</w:t>
            </w:r>
          </w:p>
          <w:p w14:paraId="7E99327F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14:paraId="56333ABB" w14:textId="77777777" w:rsidR="002B598B" w:rsidRPr="004C0D4C" w:rsidRDefault="002B598B" w:rsidP="003A7B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4C0D4C">
              <w:rPr>
                <w:rFonts w:cs="Arial"/>
                <w:sz w:val="20"/>
                <w:szCs w:val="20"/>
              </w:rPr>
              <w:t>Detailed understanding of the global issue. Detailed coverage of relevant political, economic, social, technological, legal and environmental factors. Raising awareness outcomes produced appropriate and of good quality.</w:t>
            </w:r>
          </w:p>
        </w:tc>
        <w:tc>
          <w:tcPr>
            <w:tcW w:w="3096" w:type="dxa"/>
          </w:tcPr>
          <w:p w14:paraId="06610243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eastAsia="Calibri" w:cs="Arial"/>
                <w:sz w:val="20"/>
                <w:szCs w:val="20"/>
              </w:rPr>
            </w:pPr>
            <w:r w:rsidRPr="004C0D4C">
              <w:rPr>
                <w:rFonts w:cs="Arial"/>
                <w:sz w:val="20"/>
                <w:szCs w:val="20"/>
              </w:rPr>
              <w:t xml:space="preserve">Detailed and effective understanding of the global issue. Detailed and effective coverage of relevant political, economic, social, technological, legal and environmental factors. </w:t>
            </w:r>
          </w:p>
          <w:p w14:paraId="52A06E26" w14:textId="77777777" w:rsidR="002B598B" w:rsidRPr="004C0D4C" w:rsidRDefault="002B598B" w:rsidP="003A7B78">
            <w:pPr>
              <w:widowControl w:val="0"/>
              <w:autoSpaceDE w:val="0"/>
              <w:autoSpaceDN w:val="0"/>
              <w:rPr>
                <w:rFonts w:eastAsia="Calibri" w:cs="Arial"/>
                <w:sz w:val="20"/>
                <w:szCs w:val="20"/>
              </w:rPr>
            </w:pPr>
            <w:r w:rsidRPr="004C0D4C">
              <w:rPr>
                <w:rFonts w:cs="Arial"/>
                <w:sz w:val="20"/>
                <w:szCs w:val="20"/>
              </w:rPr>
              <w:t>Raising awareness outcomes produced appropriate, effective and of high quality.</w:t>
            </w:r>
          </w:p>
        </w:tc>
      </w:tr>
    </w:tbl>
    <w:p w14:paraId="16BB9114" w14:textId="77777777" w:rsidR="002B598B" w:rsidRPr="004C0D4C" w:rsidRDefault="002B598B" w:rsidP="002B598B">
      <w:bookmarkStart w:id="0" w:name="_GoBack"/>
      <w:bookmarkEnd w:id="0"/>
    </w:p>
    <w:sectPr w:rsidR="002B598B" w:rsidRPr="004C0D4C" w:rsidSect="00EF20CA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3C005" w14:textId="77777777" w:rsidR="00A96E48" w:rsidRDefault="00A96E48">
      <w:r>
        <w:separator/>
      </w:r>
    </w:p>
  </w:endnote>
  <w:endnote w:type="continuationSeparator" w:id="0">
    <w:p w14:paraId="7142623E" w14:textId="77777777" w:rsidR="00A96E48" w:rsidRDefault="00A9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33B24" w14:textId="77777777" w:rsidR="00B01C37" w:rsidRDefault="00B01C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7EFA9" w14:textId="77777777" w:rsidR="00A96E48" w:rsidRDefault="00A96E48">
      <w:r>
        <w:separator/>
      </w:r>
    </w:p>
  </w:footnote>
  <w:footnote w:type="continuationSeparator" w:id="0">
    <w:p w14:paraId="5FD5659A" w14:textId="77777777" w:rsidR="00A96E48" w:rsidRDefault="00A96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EB75F" w14:textId="77777777" w:rsidR="00B01C37" w:rsidRDefault="00B01C37">
    <w:pPr>
      <w:pStyle w:val="Header"/>
    </w:pPr>
    <w:r>
      <w:rPr>
        <w:i/>
        <w:lang w:val="en-GB"/>
      </w:rPr>
      <w:t xml:space="preserve">National (post - 16) Welsh Baccalaureate </w:t>
    </w:r>
    <w:proofErr w:type="gramStart"/>
    <w:r>
      <w:rPr>
        <w:i/>
        <w:lang w:val="en-GB"/>
      </w:rPr>
      <w:t xml:space="preserve">specification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1E0D8D15" w14:textId="77777777" w:rsidR="00B01C37" w:rsidRDefault="00B01C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38AC6" w14:textId="77777777" w:rsidR="00B01C37" w:rsidRDefault="00B01C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2914D" w14:textId="77777777" w:rsidR="00B01C37" w:rsidRDefault="00B01C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64B0"/>
    <w:multiLevelType w:val="hybridMultilevel"/>
    <w:tmpl w:val="17CC5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8B"/>
    <w:rsid w:val="002B598B"/>
    <w:rsid w:val="00863DE0"/>
    <w:rsid w:val="00A96E48"/>
    <w:rsid w:val="00B01C37"/>
    <w:rsid w:val="00B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F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8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JECheading3">
    <w:name w:val="WJEC heading3"/>
    <w:basedOn w:val="Normal"/>
    <w:qFormat/>
    <w:rsid w:val="002B598B"/>
    <w:pPr>
      <w:outlineLvl w:val="0"/>
    </w:pPr>
    <w:rPr>
      <w:rFonts w:ascii="Gotham Rounded Book" w:hAnsi="Gotham Rounded Book"/>
      <w:color w:val="F37B83"/>
      <w:sz w:val="36"/>
      <w:szCs w:val="20"/>
    </w:rPr>
  </w:style>
  <w:style w:type="paragraph" w:styleId="ListParagraph">
    <w:name w:val="List Paragraph"/>
    <w:basedOn w:val="Normal"/>
    <w:uiPriority w:val="1"/>
    <w:qFormat/>
    <w:rsid w:val="00B01C3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Header">
    <w:name w:val="header"/>
    <w:basedOn w:val="Normal"/>
    <w:link w:val="HeaderChar"/>
    <w:uiPriority w:val="99"/>
    <w:rsid w:val="00B01C37"/>
    <w:pPr>
      <w:tabs>
        <w:tab w:val="center" w:pos="4153"/>
        <w:tab w:val="right" w:pos="8306"/>
      </w:tabs>
      <w:jc w:val="both"/>
    </w:pPr>
    <w:rPr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B01C37"/>
    <w:rPr>
      <w:rFonts w:ascii="Arial" w:eastAsia="Times New Roman" w:hAnsi="Arial" w:cs="Times New Roman"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B01C3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01C37"/>
    <w:rPr>
      <w:rFonts w:ascii="Arial" w:eastAsia="Times New Roman" w:hAnsi="Arial" w:cs="Times New Roman"/>
      <w:szCs w:val="24"/>
      <w:lang w:val="x-none"/>
    </w:rPr>
  </w:style>
  <w:style w:type="paragraph" w:customStyle="1" w:styleId="ecxmsonormal">
    <w:name w:val="ecxmsonormal"/>
    <w:basedOn w:val="Normal"/>
    <w:rsid w:val="00B01C37"/>
    <w:pPr>
      <w:spacing w:after="324"/>
    </w:pPr>
    <w:rPr>
      <w:rFonts w:ascii="Times New Roman" w:hAnsi="Times New Roman"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B01C37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01C37"/>
    <w:pPr>
      <w:autoSpaceDE w:val="0"/>
      <w:autoSpaceDN w:val="0"/>
      <w:adjustRightInd w:val="0"/>
      <w:ind w:left="392"/>
    </w:pPr>
    <w:rPr>
      <w:rFonts w:eastAsiaTheme="minorHAnsi" w:cs="Arial"/>
      <w:b/>
      <w:bCs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B01C37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37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01C37"/>
    <w:pPr>
      <w:autoSpaceDE w:val="0"/>
      <w:autoSpaceDN w:val="0"/>
      <w:adjustRightInd w:val="0"/>
    </w:pPr>
    <w:rPr>
      <w:rFonts w:ascii="Times New Roman" w:eastAsiaTheme="minorHAns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8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JECheading3">
    <w:name w:val="WJEC heading3"/>
    <w:basedOn w:val="Normal"/>
    <w:qFormat/>
    <w:rsid w:val="002B598B"/>
    <w:pPr>
      <w:outlineLvl w:val="0"/>
    </w:pPr>
    <w:rPr>
      <w:rFonts w:ascii="Gotham Rounded Book" w:hAnsi="Gotham Rounded Book"/>
      <w:color w:val="F37B83"/>
      <w:sz w:val="36"/>
      <w:szCs w:val="20"/>
    </w:rPr>
  </w:style>
  <w:style w:type="paragraph" w:styleId="ListParagraph">
    <w:name w:val="List Paragraph"/>
    <w:basedOn w:val="Normal"/>
    <w:uiPriority w:val="1"/>
    <w:qFormat/>
    <w:rsid w:val="00B01C3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Header">
    <w:name w:val="header"/>
    <w:basedOn w:val="Normal"/>
    <w:link w:val="HeaderChar"/>
    <w:uiPriority w:val="99"/>
    <w:rsid w:val="00B01C37"/>
    <w:pPr>
      <w:tabs>
        <w:tab w:val="center" w:pos="4153"/>
        <w:tab w:val="right" w:pos="8306"/>
      </w:tabs>
      <w:jc w:val="both"/>
    </w:pPr>
    <w:rPr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B01C37"/>
    <w:rPr>
      <w:rFonts w:ascii="Arial" w:eastAsia="Times New Roman" w:hAnsi="Arial" w:cs="Times New Roman"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B01C3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01C37"/>
    <w:rPr>
      <w:rFonts w:ascii="Arial" w:eastAsia="Times New Roman" w:hAnsi="Arial" w:cs="Times New Roman"/>
      <w:szCs w:val="24"/>
      <w:lang w:val="x-none"/>
    </w:rPr>
  </w:style>
  <w:style w:type="paragraph" w:customStyle="1" w:styleId="ecxmsonormal">
    <w:name w:val="ecxmsonormal"/>
    <w:basedOn w:val="Normal"/>
    <w:rsid w:val="00B01C37"/>
    <w:pPr>
      <w:spacing w:after="324"/>
    </w:pPr>
    <w:rPr>
      <w:rFonts w:ascii="Times New Roman" w:hAnsi="Times New Roman"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B01C37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01C37"/>
    <w:pPr>
      <w:autoSpaceDE w:val="0"/>
      <w:autoSpaceDN w:val="0"/>
      <w:adjustRightInd w:val="0"/>
      <w:ind w:left="392"/>
    </w:pPr>
    <w:rPr>
      <w:rFonts w:eastAsiaTheme="minorHAnsi" w:cs="Arial"/>
      <w:b/>
      <w:bCs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B01C37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37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01C37"/>
    <w:pPr>
      <w:autoSpaceDE w:val="0"/>
      <w:autoSpaceDN w:val="0"/>
      <w:adjustRightInd w:val="0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4CF52915F6BAA84DB1C445FED3725074" ma:contentTypeVersion="5" ma:contentTypeDescription="" ma:contentTypeScope="" ma:versionID="bb692bb41bf5cec4c175ad206ce1fd93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82c52efbb49e0486b1c0ac84759d6de7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8ed43c9-1af0-4a1b-94e6-72fd201d0df6}" ma:internalName="TaxCatchAll" ma:showField="CatchAllData" ma:web="8a568d11-c2f3-477d-92a4-907a959c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8ed43c9-1af0-4a1b-94e6-72fd201d0df6}" ma:internalName="TaxCatchAllLabel" ma:readOnly="true" ma:showField="CatchAllDataLabel" ma:web="8a568d11-c2f3-477d-92a4-907a959c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08B94-A0E8-4528-AAED-049643F3F3B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6631CA0-1023-4820-A521-EB939DFE7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E9FCA-C0CB-4E21-A344-7F5424DA12D2}">
  <ds:schemaRefs>
    <ds:schemaRef ds:uri="http://schemas.microsoft.com/office/2006/metadata/properties"/>
    <ds:schemaRef ds:uri="http://schemas.microsoft.com/office/infopath/2007/PartnerControls"/>
    <ds:schemaRef ds:uri="2f2f9355-f80e-4d7b-937a-0c27cfa0364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D4C8815-EC1D-4C38-A4EA-472C078BE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WJEC</dc:creator>
  <cp:keywords/>
  <cp:lastModifiedBy>WJEC</cp:lastModifiedBy>
  <cp:revision>3</cp:revision>
  <dcterms:created xsi:type="dcterms:W3CDTF">2016-05-03T16:57:00Z</dcterms:created>
  <dcterms:modified xsi:type="dcterms:W3CDTF">2018-04-10T07:33:00Z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0x0101003DB520055EDDB440B1956AA9AA49CCC9004CF52915F6BAA84DB1C445FED3725074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